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eastAsia="Times New Roman"/>
          <w:b/>
          <w:sz w:val="28"/>
        </w:rPr>
        <w:t>Planificare calendaristică – Informatică</w:t>
      </w:r>
    </w:p>
    <w:p>
      <w:r>
        <w:rPr>
          <w:rFonts w:ascii="Times New Roman" w:hAnsi="Times New Roman" w:eastAsia="Times New Roman"/>
          <w:b/>
          <w:sz w:val="24"/>
        </w:rPr>
        <w:t>Anul școlar: 2026–2027</w:t>
      </w:r>
    </w:p>
    <w:p>
      <w:r>
        <w:rPr>
          <w:rFonts w:ascii="Times New Roman" w:hAnsi="Times New Roman" w:eastAsia="Times New Roman"/>
          <w:b/>
          <w:sz w:val="24"/>
        </w:rPr>
        <w:t>Clasa: a XI-a</w:t>
      </w:r>
    </w:p>
    <w:p>
      <w:r>
        <w:rPr>
          <w:rFonts w:ascii="Times New Roman" w:hAnsi="Times New Roman" w:eastAsia="Times New Roman"/>
          <w:b/>
          <w:sz w:val="24"/>
        </w:rPr>
        <w:t>Filieră: teoretică · Profil: real · Specializarea: matematică-informatică</w:t>
      </w:r>
    </w:p>
    <w:p>
      <w:r>
        <w:rPr>
          <w:rFonts w:ascii="Times New Roman" w:hAnsi="Times New Roman" w:eastAsia="Times New Roman"/>
          <w:b/>
          <w:sz w:val="24"/>
        </w:rPr>
        <w:t>Alocare orară: 4 ore/săptămână (2 ore teorie + 2 ore laborator)</w:t>
      </w:r>
    </w:p>
    <w:p>
      <w:r>
        <w:rPr>
          <w:rFonts w:ascii="Times New Roman" w:hAnsi="Times New Roman" w:eastAsia="Times New Roman"/>
          <w:b/>
          <w:sz w:val="24"/>
        </w:rPr>
        <w:t>Durata anului școlar: 36 de săptămâni de cursuri</w:t>
      </w:r>
    </w:p>
    <w:p>
      <w:r>
        <w:rPr>
          <w:rFonts w:ascii="Times New Roman" w:hAnsi="Times New Roman" w:eastAsia="Times New Roman"/>
          <w:b/>
          <w:sz w:val="24"/>
        </w:rPr>
        <w:t>Programa: Anexa nr. 46 – Informatică, clasa a XI-a, filiera teoretică, profil real, specializarea matematică-informatică</w:t>
      </w:r>
    </w:p>
    <w:p>
      <w:r>
        <w:rPr>
          <w:rFonts w:ascii="Times New Roman" w:hAnsi="Times New Roman" w:eastAsia="Times New Roman"/>
          <w:b/>
          <w:sz w:val="24"/>
        </w:rPr>
        <w:t>Structură: 5 module — M1: 07.09–23.10.2026 · M2: 02.11–22.12.2026 · M3: 11.01–19.02.2027 · M4: 01.03–23.04.2027 · M5: 05.05–18.06.2027; săptămânile S4 („Școala altfel") și S26 („Săptămâna verde") sunt rezervate programelor naționale.</w:t>
      </w:r>
    </w:p>
    <w:p>
      <w:r>
        <w:rPr>
          <w:rFonts w:ascii="Times New Roman" w:hAnsi="Times New Roman" w:eastAsia="Times New Roman"/>
          <w:b/>
          <w:sz w:val="24"/>
        </w:rPr>
        <w:t>Notă: Planificarea respectă conținuturile și competențele specifice din Anexa nr. 46 și urmează ordinea recomandată de programă: metoda Backtracking, apoi graful și algoritmii pe grafuri, arborele și algoritmii pe arbori, modelul obiectual și programarea orientată pe obiecte, iar în final paradigmele de programare. Limbajul C++ este folosit pentru pregătirea examenului de bacalaureat, iar Python pentru conținuturile de programare orientată pe obiecte, conform programei.</w:t>
      </w:r>
    </w:p>
    <w:tbl>
      <w:tblPr>
        <w:tblStyle w:val="TableGrid"/>
        <w:tblW w:type="auto" w:w="0"/>
        <w:tblLayout w:type="fixed"/>
        <w:tblLook w:firstColumn="1" w:firstRow="1" w:lastColumn="0" w:lastRow="0" w:noHBand="0" w:noVBand="1" w:val="04A0"/>
      </w:tblPr>
      <w:tblGrid>
        <w:gridCol w:w="2381"/>
        <w:gridCol w:w="1701"/>
        <w:gridCol w:w="5499"/>
        <w:gridCol w:w="737"/>
        <w:gridCol w:w="1134"/>
        <w:gridCol w:w="850"/>
        <w:gridCol w:w="3402"/>
      </w:tblGrid>
      <w:tr>
        <w:tc>
          <w:tcPr>
            <w:tcW w:type="dxa" w:w="2381"/>
          </w:tcPr>
          <w:p>
            <w:r>
              <w:rPr>
                <w:rFonts w:ascii="Times New Roman" w:hAnsi="Times New Roman" w:eastAsia="Times New Roman"/>
                <w:b/>
                <w:sz w:val="24"/>
              </w:rPr>
              <w:t>Unitatea de învățare</w:t>
            </w:r>
          </w:p>
        </w:tc>
        <w:tc>
          <w:tcPr>
            <w:tcW w:type="dxa" w:w="1701"/>
          </w:tcPr>
          <w:p>
            <w:r>
              <w:rPr>
                <w:rFonts w:ascii="Times New Roman" w:hAnsi="Times New Roman" w:eastAsia="Times New Roman"/>
                <w:b/>
                <w:sz w:val="24"/>
              </w:rPr>
              <w:t>Competențe specifice</w:t>
            </w:r>
          </w:p>
        </w:tc>
        <w:tc>
          <w:tcPr>
            <w:tcW w:type="dxa" w:w="5499"/>
          </w:tcPr>
          <w:p>
            <w:r>
              <w:rPr>
                <w:rFonts w:ascii="Times New Roman" w:hAnsi="Times New Roman" w:eastAsia="Times New Roman"/>
                <w:b/>
                <w:sz w:val="24"/>
              </w:rPr>
              <w:t>Conținuturi</w:t>
            </w:r>
          </w:p>
        </w:tc>
        <w:tc>
          <w:tcPr>
            <w:tcW w:type="dxa" w:w="737"/>
          </w:tcPr>
          <w:p>
            <w:pPr>
              <w:jc w:val="center"/>
            </w:pPr>
            <w:r>
              <w:rPr>
                <w:rFonts w:ascii="Times New Roman" w:hAnsi="Times New Roman" w:eastAsia="Times New Roman"/>
                <w:b/>
                <w:sz w:val="24"/>
              </w:rPr>
              <w:t>Nr. ore</w:t>
            </w:r>
          </w:p>
        </w:tc>
        <w:tc>
          <w:tcPr>
            <w:tcW w:type="dxa" w:w="1134"/>
          </w:tcPr>
          <w:p>
            <w:pPr>
              <w:jc w:val="center"/>
            </w:pPr>
            <w:r>
              <w:rPr>
                <w:rFonts w:ascii="Times New Roman" w:hAnsi="Times New Roman" w:eastAsia="Times New Roman"/>
                <w:b/>
                <w:sz w:val="24"/>
              </w:rPr>
              <w:t>Săptămâna*</w:t>
            </w:r>
          </w:p>
        </w:tc>
        <w:tc>
          <w:tcPr>
            <w:tcW w:type="dxa" w:w="850"/>
          </w:tcPr>
          <w:p>
            <w:pPr>
              <w:jc w:val="center"/>
            </w:pPr>
            <w:r>
              <w:rPr>
                <w:rFonts w:ascii="Times New Roman" w:hAnsi="Times New Roman" w:eastAsia="Times New Roman"/>
                <w:b/>
                <w:sz w:val="24"/>
              </w:rPr>
              <w:t>M.</w:t>
            </w:r>
          </w:p>
        </w:tc>
        <w:tc>
          <w:tcPr>
            <w:tcW w:type="dxa" w:w="3402"/>
          </w:tcPr>
          <w:p>
            <w:r>
              <w:rPr>
                <w:rFonts w:ascii="Times New Roman" w:hAnsi="Times New Roman" w:eastAsia="Times New Roman"/>
                <w:b/>
                <w:sz w:val="24"/>
              </w:rPr>
              <w:t>Observații / repere metodologice</w:t>
            </w:r>
          </w:p>
        </w:tc>
      </w:tr>
      <w:tr>
        <w:tc>
          <w:tcPr>
            <w:tcW w:type="dxa" w:w="2381"/>
          </w:tcPr>
          <w:p>
            <w:r>
              <w:rPr>
                <w:rFonts w:ascii="Times New Roman" w:hAnsi="Times New Roman" w:eastAsia="Times New Roman"/>
                <w:b/>
                <w:sz w:val="24"/>
              </w:rPr>
              <w:t>1. Reconectare și diagnoză inițială</w:t>
            </w:r>
          </w:p>
        </w:tc>
        <w:tc>
          <w:tcPr>
            <w:tcW w:type="dxa" w:w="1701"/>
          </w:tcPr>
          <w:p>
            <w:r>
              <w:rPr>
                <w:rFonts w:ascii="Times New Roman" w:hAnsi="Times New Roman" w:eastAsia="Times New Roman"/>
                <w:b w:val="0"/>
                <w:sz w:val="24"/>
              </w:rPr>
              <w:t>—</w:t>
            </w:r>
          </w:p>
        </w:tc>
        <w:tc>
          <w:tcPr>
            <w:tcW w:type="dxa" w:w="5499"/>
          </w:tcPr>
          <w:p>
            <w:r>
              <w:rPr>
                <w:rFonts w:ascii="Times New Roman" w:hAnsi="Times New Roman" w:eastAsia="Times New Roman"/>
                <w:b w:val="0"/>
                <w:sz w:val="24"/>
              </w:rPr>
              <w:t>Recapitularea metodelor și a structurilor studiate în clasa a X-a: recursivitate, Divide et impera, Greedy, modele de date. Testarea nivelului de start.</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S1</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Test de reconectare; reactivarea recursivității, mecanismul pe care se sprijină întregul an; sistematizarea șabloanelor.</w:t>
            </w:r>
          </w:p>
        </w:tc>
      </w:tr>
      <w:tr>
        <w:tc>
          <w:tcPr>
            <w:tcW w:type="dxa" w:w="2381"/>
          </w:tcPr>
          <w:p>
            <w:r>
              <w:rPr>
                <w:rFonts w:ascii="Times New Roman" w:hAnsi="Times New Roman" w:eastAsia="Times New Roman"/>
                <w:b/>
                <w:sz w:val="24"/>
              </w:rPr>
              <w:t>2. Metoda Backtracking – schema generală</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Principiul explorării sistematice cu revenire. Structura vectorului soluție. Condițiile de continuare și condiția de soluție. Schema generală a metodei. Generarea produsului cartezian, a permutărilor, a aranjamentelor și a combinărilor.</w:t>
            </w:r>
          </w:p>
        </w:tc>
        <w:tc>
          <w:tcPr>
            <w:tcW w:type="dxa" w:w="737"/>
          </w:tcPr>
          <w:p>
            <w:pPr>
              <w:jc w:val="center"/>
            </w:pPr>
            <w:r>
              <w:rPr>
                <w:rFonts w:ascii="Times New Roman" w:hAnsi="Times New Roman" w:eastAsia="Times New Roman"/>
                <w:b w:val="0"/>
                <w:sz w:val="24"/>
              </w:rPr>
              <w:t>12</w:t>
            </w:r>
          </w:p>
        </w:tc>
        <w:tc>
          <w:tcPr>
            <w:tcW w:type="dxa" w:w="1134"/>
          </w:tcPr>
          <w:p>
            <w:pPr>
              <w:jc w:val="center"/>
            </w:pPr>
            <w:r>
              <w:rPr>
                <w:rFonts w:ascii="Times New Roman" w:hAnsi="Times New Roman" w:eastAsia="Times New Roman"/>
                <w:b w:val="0"/>
                <w:sz w:val="24"/>
              </w:rPr>
              <w:t>S2–S3, S5</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Laborator viu pe generarea permutărilor unei mulțimi mici; construirea schemei generale împreună cu elevii, pornind de la buclele imbricate.</w:t>
            </w:r>
          </w:p>
        </w:tc>
      </w:tr>
      <w:tr>
        <w:tc>
          <w:tcPr>
            <w:tcW w:type="dxa" w:w="2381"/>
          </w:tcPr>
          <w:p>
            <w:r>
              <w:rPr>
                <w:rFonts w:ascii="Times New Roman" w:hAnsi="Times New Roman" w:eastAsia="Times New Roman"/>
                <w:b/>
                <w:sz w:val="24"/>
              </w:rPr>
              <w:t>3. Aplicații clasice ale metodei Backtracking</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Probleme de generare, probleme cu condiții suplimentare și probleme de optim. Problema damelor. Colorarea hărții. Plata unei sume cu monede. Problema comis-voiajorului. Itemi de tip bacalaureat privind ordinea de generare.</w:t>
            </w:r>
          </w:p>
        </w:tc>
        <w:tc>
          <w:tcPr>
            <w:tcW w:type="dxa" w:w="737"/>
          </w:tcPr>
          <w:p>
            <w:pPr>
              <w:jc w:val="center"/>
            </w:pPr>
            <w:r>
              <w:rPr>
                <w:rFonts w:ascii="Times New Roman" w:hAnsi="Times New Roman" w:eastAsia="Times New Roman"/>
                <w:b w:val="0"/>
                <w:sz w:val="24"/>
              </w:rPr>
              <w:t>16</w:t>
            </w:r>
          </w:p>
        </w:tc>
        <w:tc>
          <w:tcPr>
            <w:tcW w:type="dxa" w:w="1134"/>
          </w:tcPr>
          <w:p>
            <w:pPr>
              <w:jc w:val="center"/>
            </w:pPr>
            <w:r>
              <w:rPr>
                <w:rFonts w:ascii="Times New Roman" w:hAnsi="Times New Roman" w:eastAsia="Times New Roman"/>
                <w:b w:val="0"/>
                <w:sz w:val="24"/>
              </w:rPr>
              <w:t>S6–S9</w:t>
            </w:r>
          </w:p>
        </w:tc>
        <w:tc>
          <w:tcPr>
            <w:tcW w:type="dxa" w:w="850"/>
          </w:tcPr>
          <w:p>
            <w:pPr>
              <w:jc w:val="center"/>
            </w:pPr>
            <w:r>
              <w:rPr>
                <w:rFonts w:ascii="Times New Roman" w:hAnsi="Times New Roman" w:eastAsia="Times New Roman"/>
                <w:b w:val="0"/>
                <w:sz w:val="24"/>
              </w:rPr>
              <w:t>M1–M2</w:t>
            </w:r>
          </w:p>
        </w:tc>
        <w:tc>
          <w:tcPr>
            <w:tcW w:type="dxa" w:w="3402"/>
          </w:tcPr>
          <w:p>
            <w:r>
              <w:rPr>
                <w:rFonts w:ascii="Times New Roman" w:hAnsi="Times New Roman" w:eastAsia="Times New Roman"/>
                <w:b w:val="0"/>
                <w:sz w:val="24"/>
              </w:rPr>
              <w:t>Tablă animată pentru problema damelor; bancă de itemi de tip bacalaureat pe ordinea generării; discuție despre costul explorării.</w:t>
            </w:r>
          </w:p>
        </w:tc>
      </w:tr>
      <w:tr>
        <w:tc>
          <w:tcPr>
            <w:tcW w:type="dxa" w:w="2381"/>
          </w:tcPr>
          <w:p>
            <w:r>
              <w:rPr>
                <w:rFonts w:ascii="Times New Roman" w:hAnsi="Times New Roman" w:eastAsia="Times New Roman"/>
                <w:b/>
                <w:sz w:val="24"/>
              </w:rPr>
              <w:t>4. Programare dinamică (aprofundare)</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Memoizarea și tabelarea. Compararea cu Backtracking și cu metoda Greedy pe aceleași probleme. Aplicații: plata unei sume cu număr minim de monede, problema rucsacului în varianta discretă.</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S10–S11</w:t>
            </w:r>
          </w:p>
        </w:tc>
        <w:tc>
          <w:tcPr>
            <w:tcW w:type="dxa" w:w="850"/>
          </w:tcPr>
          <w:p>
            <w:pPr>
              <w:jc w:val="center"/>
            </w:pPr>
            <w:r>
              <w:rPr>
                <w:rFonts w:ascii="Times New Roman" w:hAnsi="Times New Roman" w:eastAsia="Times New Roman"/>
                <w:b w:val="0"/>
                <w:sz w:val="24"/>
              </w:rPr>
              <w:t>M2</w:t>
            </w:r>
          </w:p>
        </w:tc>
        <w:tc>
          <w:tcPr>
            <w:tcW w:type="dxa" w:w="3402"/>
          </w:tcPr>
          <w:p>
            <w:r>
              <w:rPr>
                <w:rFonts w:ascii="Times New Roman" w:hAnsi="Times New Roman" w:eastAsia="Times New Roman"/>
                <w:b w:val="0"/>
                <w:sz w:val="24"/>
              </w:rPr>
              <w:t>Contrast explicit cu metoda Greedy pe aceeași problemă; completarea tabelului pas cu pas, la tablă și la calculator.</w:t>
            </w:r>
          </w:p>
        </w:tc>
      </w:tr>
      <w:tr>
        <w:tc>
          <w:tcPr>
            <w:tcW w:type="dxa" w:w="2381"/>
          </w:tcPr>
          <w:p>
            <w:r>
              <w:rPr>
                <w:rFonts w:ascii="Times New Roman" w:hAnsi="Times New Roman" w:eastAsia="Times New Roman"/>
                <w:b/>
                <w:sz w:val="24"/>
              </w:rPr>
              <w:t>5. Grafuri neorientate</w:t>
            </w:r>
          </w:p>
        </w:tc>
        <w:tc>
          <w:tcPr>
            <w:tcW w:type="dxa" w:w="1701"/>
          </w:tcPr>
          <w:p>
            <w:r>
              <w:rPr>
                <w:rFonts w:ascii="Times New Roman" w:hAnsi="Times New Roman" w:eastAsia="Times New Roman"/>
                <w:b w:val="0"/>
                <w:sz w:val="24"/>
              </w:rPr>
              <w:t>1.1</w:t>
            </w:r>
          </w:p>
        </w:tc>
        <w:tc>
          <w:tcPr>
            <w:tcW w:type="dxa" w:w="5499"/>
          </w:tcPr>
          <w:p>
            <w:r>
              <w:rPr>
                <w:rFonts w:ascii="Times New Roman" w:hAnsi="Times New Roman" w:eastAsia="Times New Roman"/>
                <w:b w:val="0"/>
                <w:sz w:val="24"/>
              </w:rPr>
              <w:t>Graful neorientat: noduri, muchii, grad. Lanț, ciclu, conexitate, componentă conexă. Reprezentări în memorie: matricea de adiacență, listele de adiacență, lista muchiilor. Grafuri particulare: complet, bipartit, regulat.</w:t>
            </w:r>
          </w:p>
        </w:tc>
        <w:tc>
          <w:tcPr>
            <w:tcW w:type="dxa" w:w="737"/>
          </w:tcPr>
          <w:p>
            <w:pPr>
              <w:jc w:val="center"/>
            </w:pPr>
            <w:r>
              <w:rPr>
                <w:rFonts w:ascii="Times New Roman" w:hAnsi="Times New Roman" w:eastAsia="Times New Roman"/>
                <w:b w:val="0"/>
                <w:sz w:val="24"/>
              </w:rPr>
              <w:t>12</w:t>
            </w:r>
          </w:p>
        </w:tc>
        <w:tc>
          <w:tcPr>
            <w:tcW w:type="dxa" w:w="1134"/>
          </w:tcPr>
          <w:p>
            <w:pPr>
              <w:jc w:val="center"/>
            </w:pPr>
            <w:r>
              <w:rPr>
                <w:rFonts w:ascii="Times New Roman" w:hAnsi="Times New Roman" w:eastAsia="Times New Roman"/>
                <w:b w:val="0"/>
                <w:sz w:val="24"/>
              </w:rPr>
              <w:t>S12–S14</w:t>
            </w:r>
          </w:p>
        </w:tc>
        <w:tc>
          <w:tcPr>
            <w:tcW w:type="dxa" w:w="850"/>
          </w:tcPr>
          <w:p>
            <w:pPr>
              <w:jc w:val="center"/>
            </w:pPr>
            <w:r>
              <w:rPr>
                <w:rFonts w:ascii="Times New Roman" w:hAnsi="Times New Roman" w:eastAsia="Times New Roman"/>
                <w:b w:val="0"/>
                <w:sz w:val="24"/>
              </w:rPr>
              <w:t>M2–M3</w:t>
            </w:r>
          </w:p>
        </w:tc>
        <w:tc>
          <w:tcPr>
            <w:tcW w:type="dxa" w:w="3402"/>
          </w:tcPr>
          <w:p>
            <w:r>
              <w:rPr>
                <w:rFonts w:ascii="Times New Roman" w:hAnsi="Times New Roman" w:eastAsia="Times New Roman"/>
                <w:b w:val="0"/>
                <w:sz w:val="24"/>
              </w:rPr>
              <w:t>Graf interactiv construit de elevi; trecerea repetată de la desen la reprezentarea în memorie și invers.</w:t>
            </w:r>
          </w:p>
        </w:tc>
      </w:tr>
      <w:tr>
        <w:tc>
          <w:tcPr>
            <w:tcW w:type="dxa" w:w="2381"/>
          </w:tcPr>
          <w:p>
            <w:r>
              <w:rPr>
                <w:rFonts w:ascii="Times New Roman" w:hAnsi="Times New Roman" w:eastAsia="Times New Roman"/>
                <w:b/>
                <w:sz w:val="24"/>
              </w:rPr>
              <w:t>6. Grafuri orientate</w:t>
            </w:r>
          </w:p>
        </w:tc>
        <w:tc>
          <w:tcPr>
            <w:tcW w:type="dxa" w:w="1701"/>
          </w:tcPr>
          <w:p>
            <w:r>
              <w:rPr>
                <w:rFonts w:ascii="Times New Roman" w:hAnsi="Times New Roman" w:eastAsia="Times New Roman"/>
                <w:b w:val="0"/>
                <w:sz w:val="24"/>
              </w:rPr>
              <w:t>1.1</w:t>
            </w:r>
          </w:p>
        </w:tc>
        <w:tc>
          <w:tcPr>
            <w:tcW w:type="dxa" w:w="5499"/>
          </w:tcPr>
          <w:p>
            <w:r>
              <w:rPr>
                <w:rFonts w:ascii="Times New Roman" w:hAnsi="Times New Roman" w:eastAsia="Times New Roman"/>
                <w:b w:val="0"/>
                <w:sz w:val="24"/>
              </w:rPr>
              <w:t>Graful orientat: arce, grad interior și grad exterior. Drum, circuit. Reprezentări specifice. Subgraf și graf parțial. Compararea cu graful neorientat.</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S15–S16</w:t>
            </w:r>
          </w:p>
        </w:tc>
        <w:tc>
          <w:tcPr>
            <w:tcW w:type="dxa" w:w="850"/>
          </w:tcPr>
          <w:p>
            <w:pPr>
              <w:jc w:val="center"/>
            </w:pPr>
            <w:r>
              <w:rPr>
                <w:rFonts w:ascii="Times New Roman" w:hAnsi="Times New Roman" w:eastAsia="Times New Roman"/>
                <w:b w:val="0"/>
                <w:sz w:val="24"/>
              </w:rPr>
              <w:t>M3</w:t>
            </w:r>
          </w:p>
        </w:tc>
        <w:tc>
          <w:tcPr>
            <w:tcW w:type="dxa" w:w="3402"/>
          </w:tcPr>
          <w:p>
            <w:r>
              <w:rPr>
                <w:rFonts w:ascii="Times New Roman" w:hAnsi="Times New Roman" w:eastAsia="Times New Roman"/>
                <w:b w:val="0"/>
                <w:sz w:val="24"/>
              </w:rPr>
              <w:t>Tabel-oglindă între graful neorientat și cel orientat; exemple din realitate (rețele cu sens unic).</w:t>
            </w:r>
          </w:p>
        </w:tc>
      </w:tr>
      <w:tr>
        <w:tc>
          <w:tcPr>
            <w:tcW w:type="dxa" w:w="2381"/>
          </w:tcPr>
          <w:p>
            <w:r>
              <w:rPr>
                <w:rFonts w:ascii="Times New Roman" w:hAnsi="Times New Roman" w:eastAsia="Times New Roman"/>
                <w:b/>
                <w:sz w:val="24"/>
              </w:rPr>
              <w:t>7. Parcurgerea grafurilor</w:t>
            </w:r>
          </w:p>
        </w:tc>
        <w:tc>
          <w:tcPr>
            <w:tcW w:type="dxa" w:w="1701"/>
          </w:tcPr>
          <w:p>
            <w:r>
              <w:rPr>
                <w:rFonts w:ascii="Times New Roman" w:hAnsi="Times New Roman" w:eastAsia="Times New Roman"/>
                <w:b w:val="0"/>
                <w:sz w:val="24"/>
              </w:rPr>
              <w:t>2.2</w:t>
            </w:r>
          </w:p>
        </w:tc>
        <w:tc>
          <w:tcPr>
            <w:tcW w:type="dxa" w:w="5499"/>
          </w:tcPr>
          <w:p>
            <w:r>
              <w:rPr>
                <w:rFonts w:ascii="Times New Roman" w:hAnsi="Times New Roman" w:eastAsia="Times New Roman"/>
                <w:b w:val="0"/>
                <w:sz w:val="24"/>
              </w:rPr>
              <w:t>Parcurgerea în lățime (BFS) folosind structura de coadă. Parcurgerea în adâncime (DFS) folosind structura de stivă. Determinarea componentelor conexe. Criterii de alegere între cele două parcurgeri.</w:t>
            </w:r>
          </w:p>
        </w:tc>
        <w:tc>
          <w:tcPr>
            <w:tcW w:type="dxa" w:w="737"/>
          </w:tcPr>
          <w:p>
            <w:pPr>
              <w:jc w:val="center"/>
            </w:pPr>
            <w:r>
              <w:rPr>
                <w:rFonts w:ascii="Times New Roman" w:hAnsi="Times New Roman" w:eastAsia="Times New Roman"/>
                <w:b w:val="0"/>
                <w:sz w:val="24"/>
              </w:rPr>
              <w:t>12</w:t>
            </w:r>
          </w:p>
        </w:tc>
        <w:tc>
          <w:tcPr>
            <w:tcW w:type="dxa" w:w="1134"/>
          </w:tcPr>
          <w:p>
            <w:pPr>
              <w:jc w:val="center"/>
            </w:pPr>
            <w:r>
              <w:rPr>
                <w:rFonts w:ascii="Times New Roman" w:hAnsi="Times New Roman" w:eastAsia="Times New Roman"/>
                <w:b w:val="0"/>
                <w:sz w:val="24"/>
              </w:rPr>
              <w:t>S17–S19</w:t>
            </w:r>
          </w:p>
        </w:tc>
        <w:tc>
          <w:tcPr>
            <w:tcW w:type="dxa" w:w="850"/>
          </w:tcPr>
          <w:p>
            <w:pPr>
              <w:jc w:val="center"/>
            </w:pPr>
            <w:r>
              <w:rPr>
                <w:rFonts w:ascii="Times New Roman" w:hAnsi="Times New Roman" w:eastAsia="Times New Roman"/>
                <w:b w:val="0"/>
                <w:sz w:val="24"/>
              </w:rPr>
              <w:t>M3</w:t>
            </w:r>
          </w:p>
        </w:tc>
        <w:tc>
          <w:tcPr>
            <w:tcW w:type="dxa" w:w="3402"/>
          </w:tcPr>
          <w:p>
            <w:r>
              <w:rPr>
                <w:rFonts w:ascii="Times New Roman" w:hAnsi="Times New Roman" w:eastAsia="Times New Roman"/>
                <w:b w:val="0"/>
                <w:sz w:val="24"/>
              </w:rPr>
              <w:t>Animarea propagării în lățime și a scufundării în adâncime; aplicații pe componente conexe și pe drumuri minime în număr de muchii.</w:t>
            </w:r>
          </w:p>
        </w:tc>
      </w:tr>
      <w:tr>
        <w:tc>
          <w:tcPr>
            <w:tcW w:type="dxa" w:w="2381"/>
          </w:tcPr>
          <w:p>
            <w:r>
              <w:rPr>
                <w:rFonts w:ascii="Times New Roman" w:hAnsi="Times New Roman" w:eastAsia="Times New Roman"/>
                <w:b/>
                <w:sz w:val="24"/>
              </w:rPr>
              <w:t>8. Matricea drumurilor. Conexitate</w:t>
            </w:r>
          </w:p>
        </w:tc>
        <w:tc>
          <w:tcPr>
            <w:tcW w:type="dxa" w:w="1701"/>
          </w:tcPr>
          <w:p>
            <w:r>
              <w:rPr>
                <w:rFonts w:ascii="Times New Roman" w:hAnsi="Times New Roman" w:eastAsia="Times New Roman"/>
                <w:b w:val="0"/>
                <w:sz w:val="24"/>
              </w:rPr>
              <w:t>1.1, 2.2</w:t>
            </w:r>
          </w:p>
        </w:tc>
        <w:tc>
          <w:tcPr>
            <w:tcW w:type="dxa" w:w="5499"/>
          </w:tcPr>
          <w:p>
            <w:r>
              <w:rPr>
                <w:rFonts w:ascii="Times New Roman" w:hAnsi="Times New Roman" w:eastAsia="Times New Roman"/>
                <w:b w:val="0"/>
                <w:sz w:val="24"/>
              </w:rPr>
              <w:t>Algoritmul Roy-Floyd. Matricea drumurilor. Tare conexitatea grafurilor orientate și componentele tare conexe. Grafuri speciale și proprietățile lor.</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S20–S21</w:t>
            </w:r>
          </w:p>
        </w:tc>
        <w:tc>
          <w:tcPr>
            <w:tcW w:type="dxa" w:w="850"/>
          </w:tcPr>
          <w:p>
            <w:pPr>
              <w:jc w:val="center"/>
            </w:pPr>
            <w:r>
              <w:rPr>
                <w:rFonts w:ascii="Times New Roman" w:hAnsi="Times New Roman" w:eastAsia="Times New Roman"/>
                <w:b w:val="0"/>
                <w:sz w:val="24"/>
              </w:rPr>
              <w:t>M3–M4</w:t>
            </w:r>
          </w:p>
        </w:tc>
        <w:tc>
          <w:tcPr>
            <w:tcW w:type="dxa" w:w="3402"/>
          </w:tcPr>
          <w:p>
            <w:r>
              <w:rPr>
                <w:rFonts w:ascii="Times New Roman" w:hAnsi="Times New Roman" w:eastAsia="Times New Roman"/>
                <w:b w:val="0"/>
                <w:sz w:val="24"/>
              </w:rPr>
              <w:t>Completarea matricei drumurilor pas cu pas; galerie de grafuri speciale cu identificarea proprietăților.</w:t>
            </w:r>
          </w:p>
        </w:tc>
      </w:tr>
      <w:tr>
        <w:tc>
          <w:tcPr>
            <w:tcW w:type="dxa" w:w="2381"/>
          </w:tcPr>
          <w:p>
            <w:r>
              <w:rPr>
                <w:rFonts w:ascii="Times New Roman" w:hAnsi="Times New Roman" w:eastAsia="Times New Roman"/>
                <w:b/>
                <w:sz w:val="24"/>
              </w:rPr>
              <w:t>9. Drumuri de cost minim – algoritmul lui Dijkstra</w:t>
            </w:r>
          </w:p>
        </w:tc>
        <w:tc>
          <w:tcPr>
            <w:tcW w:type="dxa" w:w="1701"/>
          </w:tcPr>
          <w:p>
            <w:r>
              <w:rPr>
                <w:rFonts w:ascii="Times New Roman" w:hAnsi="Times New Roman" w:eastAsia="Times New Roman"/>
                <w:b w:val="0"/>
                <w:sz w:val="24"/>
              </w:rPr>
              <w:t>2.2</w:t>
            </w:r>
          </w:p>
        </w:tc>
        <w:tc>
          <w:tcPr>
            <w:tcW w:type="dxa" w:w="5499"/>
          </w:tcPr>
          <w:p>
            <w:r>
              <w:rPr>
                <w:rFonts w:ascii="Times New Roman" w:hAnsi="Times New Roman" w:eastAsia="Times New Roman"/>
                <w:b w:val="0"/>
                <w:sz w:val="24"/>
              </w:rPr>
              <w:t>Graful ponderat și matricea costurilor. Algoritmul lui Dijkstra: selecția nodului de cost minim și actualizarea costurilor. Justificarea corectitudinii. Aplicații practice.</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S22–S23</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Simulare pas cu pas pe o rețea de localități; discuție despre alegerea locală optimă și garanția globală.</w:t>
            </w:r>
          </w:p>
        </w:tc>
      </w:tr>
      <w:tr>
        <w:tc>
          <w:tcPr>
            <w:tcW w:type="dxa" w:w="2381"/>
          </w:tcPr>
          <w:p>
            <w:r>
              <w:rPr>
                <w:rFonts w:ascii="Times New Roman" w:hAnsi="Times New Roman" w:eastAsia="Times New Roman"/>
                <w:b/>
                <w:sz w:val="24"/>
              </w:rPr>
              <w:t>10. Arbore parțial de cost minim – algoritmul lui Prim</w:t>
            </w:r>
          </w:p>
        </w:tc>
        <w:tc>
          <w:tcPr>
            <w:tcW w:type="dxa" w:w="1701"/>
          </w:tcPr>
          <w:p>
            <w:r>
              <w:rPr>
                <w:rFonts w:ascii="Times New Roman" w:hAnsi="Times New Roman" w:eastAsia="Times New Roman"/>
                <w:b w:val="0"/>
                <w:sz w:val="24"/>
              </w:rPr>
              <w:t>2.2</w:t>
            </w:r>
          </w:p>
        </w:tc>
        <w:tc>
          <w:tcPr>
            <w:tcW w:type="dxa" w:w="5499"/>
          </w:tcPr>
          <w:p>
            <w:r>
              <w:rPr>
                <w:rFonts w:ascii="Times New Roman" w:hAnsi="Times New Roman" w:eastAsia="Times New Roman"/>
                <w:b w:val="0"/>
                <w:sz w:val="24"/>
              </w:rPr>
              <w:t>Arborele parțial de cost minim. Algoritmul lui Prim. Compararea cu algoritmul lui Dijkstra: ce minimizează fiecare.</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S24–S25</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Aplicație pe o rețea de iluminat public; evidențierea confuziei frecvente dintre cei doi algoritmi în itemii de examen.</w:t>
            </w:r>
          </w:p>
        </w:tc>
      </w:tr>
      <w:tr>
        <w:tc>
          <w:tcPr>
            <w:tcW w:type="dxa" w:w="2381"/>
          </w:tcPr>
          <w:p>
            <w:r>
              <w:rPr>
                <w:rFonts w:ascii="Times New Roman" w:hAnsi="Times New Roman" w:eastAsia="Times New Roman"/>
                <w:b/>
                <w:sz w:val="24"/>
              </w:rPr>
              <w:t>11. Arbori</w:t>
            </w:r>
          </w:p>
        </w:tc>
        <w:tc>
          <w:tcPr>
            <w:tcW w:type="dxa" w:w="1701"/>
          </w:tcPr>
          <w:p>
            <w:r>
              <w:rPr>
                <w:rFonts w:ascii="Times New Roman" w:hAnsi="Times New Roman" w:eastAsia="Times New Roman"/>
                <w:b w:val="0"/>
                <w:sz w:val="24"/>
              </w:rPr>
              <w:t>1.2</w:t>
            </w:r>
          </w:p>
        </w:tc>
        <w:tc>
          <w:tcPr>
            <w:tcW w:type="dxa" w:w="5499"/>
          </w:tcPr>
          <w:p>
            <w:r>
              <w:rPr>
                <w:rFonts w:ascii="Times New Roman" w:hAnsi="Times New Roman" w:eastAsia="Times New Roman"/>
                <w:b w:val="0"/>
                <w:sz w:val="24"/>
              </w:rPr>
              <w:t>Arborele ca graf special; definiții echivalente. Arborele cu rădăcină: nod-tată, descendenți, frunze, nivel, înălțime. Reprezentări în memorie: vectorul de tați, listele de descendenți.</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S27–S28</w:t>
            </w:r>
          </w:p>
        </w:tc>
        <w:tc>
          <w:tcPr>
            <w:tcW w:type="dxa" w:w="850"/>
          </w:tcPr>
          <w:p>
            <w:pPr>
              <w:jc w:val="center"/>
            </w:pPr>
            <w:r>
              <w:rPr>
                <w:rFonts w:ascii="Times New Roman" w:hAnsi="Times New Roman" w:eastAsia="Times New Roman"/>
                <w:b w:val="0"/>
                <w:sz w:val="24"/>
              </w:rPr>
              <w:t>M4–M5</w:t>
            </w:r>
          </w:p>
        </w:tc>
        <w:tc>
          <w:tcPr>
            <w:tcW w:type="dxa" w:w="3402"/>
          </w:tcPr>
          <w:p>
            <w:r>
              <w:rPr>
                <w:rFonts w:ascii="Times New Roman" w:hAnsi="Times New Roman" w:eastAsia="Times New Roman"/>
                <w:b w:val="0"/>
                <w:sz w:val="24"/>
              </w:rPr>
              <w:t>Arbore interactiv; trecerea între reprezentări; identificarea proprietăților care caracterizează un arbore.</w:t>
            </w:r>
          </w:p>
        </w:tc>
      </w:tr>
      <w:tr>
        <w:tc>
          <w:tcPr>
            <w:tcW w:type="dxa" w:w="2381"/>
          </w:tcPr>
          <w:p>
            <w:r>
              <w:rPr>
                <w:rFonts w:ascii="Times New Roman" w:hAnsi="Times New Roman" w:eastAsia="Times New Roman"/>
                <w:b/>
                <w:sz w:val="24"/>
              </w:rPr>
              <w:t>12. Arbori binari</w:t>
            </w:r>
          </w:p>
        </w:tc>
        <w:tc>
          <w:tcPr>
            <w:tcW w:type="dxa" w:w="1701"/>
          </w:tcPr>
          <w:p>
            <w:r>
              <w:rPr>
                <w:rFonts w:ascii="Times New Roman" w:hAnsi="Times New Roman" w:eastAsia="Times New Roman"/>
                <w:b w:val="0"/>
                <w:sz w:val="24"/>
              </w:rPr>
              <w:t>1.2, 2.3</w:t>
            </w:r>
          </w:p>
        </w:tc>
        <w:tc>
          <w:tcPr>
            <w:tcW w:type="dxa" w:w="5499"/>
          </w:tcPr>
          <w:p>
            <w:r>
              <w:rPr>
                <w:rFonts w:ascii="Times New Roman" w:hAnsi="Times New Roman" w:eastAsia="Times New Roman"/>
                <w:b w:val="0"/>
                <w:sz w:val="24"/>
              </w:rPr>
              <w:t>Arborele binar și reprezentarea lui în memorie. Parcurgerile în preordine, inordine și postordine. Reconstruirea arborelui din două parcurgeri date.</w:t>
            </w:r>
          </w:p>
        </w:tc>
        <w:tc>
          <w:tcPr>
            <w:tcW w:type="dxa" w:w="737"/>
          </w:tcPr>
          <w:p>
            <w:pPr>
              <w:jc w:val="center"/>
            </w:pPr>
            <w:r>
              <w:rPr>
                <w:rFonts w:ascii="Times New Roman" w:hAnsi="Times New Roman" w:eastAsia="Times New Roman"/>
                <w:b w:val="0"/>
                <w:sz w:val="24"/>
              </w:rPr>
              <w:t>12</w:t>
            </w:r>
          </w:p>
        </w:tc>
        <w:tc>
          <w:tcPr>
            <w:tcW w:type="dxa" w:w="1134"/>
          </w:tcPr>
          <w:p>
            <w:pPr>
              <w:jc w:val="center"/>
            </w:pPr>
            <w:r>
              <w:rPr>
                <w:rFonts w:ascii="Times New Roman" w:hAnsi="Times New Roman" w:eastAsia="Times New Roman"/>
                <w:b w:val="0"/>
                <w:sz w:val="24"/>
              </w:rPr>
              <w:t>S29–S31</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Cele trei parcurgeri, animate pe același arbore; problema clasică de bacalaureat — reconstruirea din preordine și inordine.</w:t>
            </w:r>
          </w:p>
        </w:tc>
      </w:tr>
      <w:tr>
        <w:tc>
          <w:tcPr>
            <w:tcW w:type="dxa" w:w="2381"/>
          </w:tcPr>
          <w:p>
            <w:r>
              <w:rPr>
                <w:rFonts w:ascii="Times New Roman" w:hAnsi="Times New Roman" w:eastAsia="Times New Roman"/>
                <w:b/>
                <w:sz w:val="24"/>
              </w:rPr>
              <w:t>13. Arbori binari de căutare</w:t>
            </w:r>
          </w:p>
        </w:tc>
        <w:tc>
          <w:tcPr>
            <w:tcW w:type="dxa" w:w="1701"/>
          </w:tcPr>
          <w:p>
            <w:r>
              <w:rPr>
                <w:rFonts w:ascii="Times New Roman" w:hAnsi="Times New Roman" w:eastAsia="Times New Roman"/>
                <w:b w:val="0"/>
                <w:sz w:val="24"/>
              </w:rPr>
              <w:t>2.3</w:t>
            </w:r>
          </w:p>
        </w:tc>
        <w:tc>
          <w:tcPr>
            <w:tcW w:type="dxa" w:w="5499"/>
          </w:tcPr>
          <w:p>
            <w:r>
              <w:rPr>
                <w:rFonts w:ascii="Times New Roman" w:hAnsi="Times New Roman" w:eastAsia="Times New Roman"/>
                <w:b w:val="0"/>
                <w:sz w:val="24"/>
              </w:rPr>
              <w:t>Proprietatea de ordonare a arborelui binar de căutare. Inserarea și căutarea unui nod. Parcurgerea în inordine și obținerea secvenței ordonate. Cazul degenerat și consecințele lui.</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S32–S33</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Inserare și căutare urmărite pas cu pas; discuție despre înălțimea arborelui și legătura cu eficiența căutării.</w:t>
            </w:r>
          </w:p>
        </w:tc>
      </w:tr>
      <w:tr>
        <w:tc>
          <w:tcPr>
            <w:tcW w:type="dxa" w:w="2381"/>
          </w:tcPr>
          <w:p>
            <w:r>
              <w:rPr>
                <w:rFonts w:ascii="Times New Roman" w:hAnsi="Times New Roman" w:eastAsia="Times New Roman"/>
                <w:b/>
                <w:sz w:val="24"/>
              </w:rPr>
              <w:t>14. Programarea orientată pe obiecte (Python)</w:t>
            </w:r>
          </w:p>
        </w:tc>
        <w:tc>
          <w:tcPr>
            <w:tcW w:type="dxa" w:w="1701"/>
          </w:tcPr>
          <w:p>
            <w:r>
              <w:rPr>
                <w:rFonts w:ascii="Times New Roman" w:hAnsi="Times New Roman" w:eastAsia="Times New Roman"/>
                <w:b w:val="0"/>
                <w:sz w:val="24"/>
              </w:rPr>
              <w:t>1.3, 3.1</w:t>
            </w:r>
          </w:p>
        </w:tc>
        <w:tc>
          <w:tcPr>
            <w:tcW w:type="dxa" w:w="5499"/>
          </w:tcPr>
          <w:p>
            <w:r>
              <w:rPr>
                <w:rFonts w:ascii="Times New Roman" w:hAnsi="Times New Roman" w:eastAsia="Times New Roman"/>
                <w:b w:val="0"/>
                <w:sz w:val="24"/>
              </w:rPr>
              <w:t>Clasa și obiectul. Constructorul. Atribute și metode. Niveluri de acces la membri. Moștenirea și specializarea claselor. Realizarea unei aplicații cu ierarhie de clase.</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S34–S35</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Proiect pe o ierarhie de clase; compararea soluției obiectuale cu cea procedurală pentru aceeași problemă.</w:t>
            </w:r>
          </w:p>
        </w:tc>
      </w:tr>
      <w:tr>
        <w:tc>
          <w:tcPr>
            <w:tcW w:type="dxa" w:w="2381"/>
          </w:tcPr>
          <w:p>
            <w:r>
              <w:rPr>
                <w:rFonts w:ascii="Times New Roman" w:hAnsi="Times New Roman" w:eastAsia="Times New Roman"/>
                <w:b/>
                <w:sz w:val="24"/>
              </w:rPr>
              <w:t>15. Paradigme de programare. Recapitulare finală</w:t>
            </w:r>
          </w:p>
        </w:tc>
        <w:tc>
          <w:tcPr>
            <w:tcW w:type="dxa" w:w="1701"/>
          </w:tcPr>
          <w:p>
            <w:r>
              <w:rPr>
                <w:rFonts w:ascii="Times New Roman" w:hAnsi="Times New Roman" w:eastAsia="Times New Roman"/>
                <w:b w:val="0"/>
                <w:sz w:val="24"/>
              </w:rPr>
              <w:t>3.2</w:t>
            </w:r>
          </w:p>
        </w:tc>
        <w:tc>
          <w:tcPr>
            <w:tcW w:type="dxa" w:w="5499"/>
          </w:tcPr>
          <w:p>
            <w:r>
              <w:rPr>
                <w:rFonts w:ascii="Times New Roman" w:hAnsi="Times New Roman" w:eastAsia="Times New Roman"/>
                <w:b w:val="0"/>
                <w:sz w:val="24"/>
              </w:rPr>
              <w:t>Paradigmele de programare: procedurală, obiectuală, declarativă. Aceeași problemă rezolvată în paradigme diferite. Sinteza conținuturilor anului și evaluare finală.</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S36</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Ora poate fi redistribuită unei unități de învățare, în funcție de ritmul clasei.</w:t>
            </w:r>
          </w:p>
        </w:tc>
      </w:tr>
    </w:tbl>
    <w:p>
      <w:r>
        <w:rPr>
          <w:rFonts w:ascii="Times New Roman" w:hAnsi="Times New Roman" w:eastAsia="Times New Roman"/>
          <w:b/>
          <w:sz w:val="24"/>
        </w:rPr>
        <w:t>* Numerotarea S1–S36 urmează structura anului școlar 2026–2027 (5 module, 36 de săptămâni de cursuri). Săptămânile S4 („Școala altfel") și S26 („Săptămâna verde") sunt rezervate programelor naționale și nu conțin ore de disciplină; ele se desfășoară în intervale de câte 5 zile consecutive lucrătoare, stabilite de unitatea de învățământ în perioada 7 septembrie 2026 – 23 aprilie 2027. După aprobarea calendarului școlii, săptămânile din tabel se repoziționează corespunzător.</w:t>
      </w:r>
    </w:p>
    <w:p>
      <w:r>
        <w:rPr>
          <w:rFonts w:ascii="Times New Roman" w:hAnsi="Times New Roman" w:eastAsia="Times New Roman"/>
          <w:b/>
          <w:sz w:val="24"/>
        </w:rPr>
        <w:t>** Data de final a Modulului 3 (12, 19 sau 26 februarie 2027) și, implicit, data de început a Modulului 4 depind de vacanța stabilită la decizia ISMB (22–27 februarie 2027). Tabelul folosește varianta mediană; la schimbarea variantei, săptămânile se decalează cu o săptămână.</w:t>
      </w:r>
    </w:p>
    <w:p>
      <w:r>
        <w:rPr>
          <w:rFonts w:ascii="Times New Roman" w:hAnsi="Times New Roman" w:eastAsia="Times New Roman"/>
          <w:b/>
          <w:sz w:val="24"/>
        </w:rPr>
        <w:t>*** Codurile din coloana „Competențe specifice" trimit la domeniile și conținuturile din Anexa nr. 46; ele se corelează cu numerotarea competențelor specifice din documentul oficial.</w:t>
      </w:r>
    </w:p>
    <w:p>
      <w:r>
        <w:rPr>
          <w:rFonts w:ascii="Times New Roman" w:hAnsi="Times New Roman" w:eastAsia="Times New Roman"/>
          <w:b/>
          <w:sz w:val="24"/>
        </w:rPr>
        <w:t>**** Din cele 4 ore săptămânale, aproximativ jumătate sunt destinate activităților de laborator (rezolvare de probleme la calculator, implementare și testare), conform recomandării programei privind rezerva de timp pentru consolidare.</w:t>
      </w:r>
    </w:p>
    <w:p>
      <w:r>
        <w:rPr>
          <w:rFonts w:ascii="Times New Roman" w:hAnsi="Times New Roman" w:eastAsia="Times New Roman"/>
          <w:b/>
          <w:sz w:val="24"/>
        </w:rPr>
        <w:t>Total disciplină în planificarea curriculară: 136 ore de informatică (4 ore/săptămână × 34 de săptămâni de curriculum), la care se adaugă cele două săptămâni dedicate programelor naționale, incluse în cele 36 de săptămâni de cursuri.</w:t>
      </w:r>
    </w:p>
    <w:sectPr w:rsidR="00FC693F" w:rsidRPr="0006063C" w:rsidSect="00034616">
      <w:pgSz w:w="15840" w:h="12240"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