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eastAsia="Times New Roman"/>
          <w:b/>
          <w:sz w:val="28"/>
        </w:rPr>
        <w:t>Planificare calendaristică – Informatică</w:t>
      </w:r>
    </w:p>
    <w:p>
      <w:r>
        <w:rPr>
          <w:rFonts w:ascii="Times New Roman" w:hAnsi="Times New Roman" w:eastAsia="Times New Roman"/>
          <w:b/>
          <w:sz w:val="24"/>
        </w:rPr>
        <w:t>Anul școlar: 2026–2027</w:t>
      </w:r>
    </w:p>
    <w:p>
      <w:r>
        <w:rPr>
          <w:rFonts w:ascii="Times New Roman" w:hAnsi="Times New Roman" w:eastAsia="Times New Roman"/>
          <w:b/>
          <w:sz w:val="24"/>
        </w:rPr>
        <w:t>Clasa: a X-a</w:t>
      </w:r>
    </w:p>
    <w:p>
      <w:r>
        <w:rPr>
          <w:rFonts w:ascii="Times New Roman" w:hAnsi="Times New Roman" w:eastAsia="Times New Roman"/>
          <w:b/>
          <w:sz w:val="24"/>
        </w:rPr>
        <w:t>Filieră: teoretică · Profil: real · Specializarea: matematică-informatică</w:t>
      </w:r>
    </w:p>
    <w:p>
      <w:r>
        <w:rPr>
          <w:rFonts w:ascii="Times New Roman" w:hAnsi="Times New Roman" w:eastAsia="Times New Roman"/>
          <w:b/>
          <w:sz w:val="24"/>
        </w:rPr>
        <w:t>Alocare orară: 1 oră/săptămână</w:t>
      </w:r>
    </w:p>
    <w:p>
      <w:r>
        <w:rPr>
          <w:rFonts w:ascii="Times New Roman" w:hAnsi="Times New Roman" w:eastAsia="Times New Roman"/>
          <w:b/>
          <w:sz w:val="24"/>
        </w:rPr>
        <w:t>Durata anului școlar: 36 de săptămâni de cursuri</w:t>
      </w:r>
    </w:p>
    <w:p>
      <w:r>
        <w:rPr>
          <w:rFonts w:ascii="Times New Roman" w:hAnsi="Times New Roman" w:eastAsia="Times New Roman"/>
          <w:b/>
          <w:sz w:val="24"/>
        </w:rPr>
        <w:t>Programa: Anexa nr. 44 la ordinul ministrului educației nr. 4350/2025 – Informatică, clasa a X-a, filiera teoretică, profil real, specializarea matematică-informatică</w:t>
      </w:r>
    </w:p>
    <w:p>
      <w:r>
        <w:rPr>
          <w:rFonts w:ascii="Times New Roman" w:hAnsi="Times New Roman" w:eastAsia="Times New Roman"/>
          <w:b/>
          <w:sz w:val="24"/>
        </w:rPr>
        <w:t>Structură: 5 module — M1: 07.09–23.10.2026 · M2: 02.11–22.12.2026 · M3: 11.01–19.02.2027 · M4: 01.03–23.04.2027 · M5: 05.05–18.06.2027; săptămânile S4 („Școala altfel") și S26 („Săptămâna verde") sunt rezervate programelor naționale.</w:t>
      </w:r>
    </w:p>
    <w:p>
      <w:r>
        <w:rPr>
          <w:rFonts w:ascii="Times New Roman" w:hAnsi="Times New Roman" w:eastAsia="Times New Roman"/>
          <w:b/>
          <w:sz w:val="24"/>
        </w:rPr>
        <w:t>Notă: Planificarea respectă conținuturile și competențele specifice din Anexa nr. 44. Ordinea unităților urmează recomandarea programei: mai întâi metodele pe tablouri ordonate, apoi modelele de date (mulțime, șir de caractere, dicționar, structuri mixte), iar în final metodele de programare (recursivitate, Divide et impera, Greedy). Pointerii și șirurile de caractere în stil C sunt tratate ca suport pentru examenul de bacalaureat. Limbajul principal este C++; Python se folosește acolo unde programa îl prevede explicit (set, str, dict).</w:t>
      </w:r>
    </w:p>
    <w:tbl>
      <w:tblPr>
        <w:tblStyle w:val="TableGrid"/>
        <w:tblW w:type="auto" w:w="0"/>
        <w:tblLayout w:type="fixed"/>
        <w:tblLook w:firstColumn="1" w:firstRow="1" w:lastColumn="0" w:lastRow="0" w:noHBand="0" w:noVBand="1" w:val="04A0"/>
      </w:tblPr>
      <w:tblGrid>
        <w:gridCol w:w="2381"/>
        <w:gridCol w:w="1701"/>
        <w:gridCol w:w="5499"/>
        <w:gridCol w:w="737"/>
        <w:gridCol w:w="1134"/>
        <w:gridCol w:w="850"/>
        <w:gridCol w:w="3402"/>
      </w:tblGrid>
      <w:tr>
        <w:tc>
          <w:tcPr>
            <w:tcW w:type="dxa" w:w="2381"/>
          </w:tcPr>
          <w:p>
            <w:r>
              <w:rPr>
                <w:rFonts w:ascii="Times New Roman" w:hAnsi="Times New Roman" w:eastAsia="Times New Roman"/>
                <w:b/>
                <w:sz w:val="24"/>
              </w:rPr>
              <w:t>Unitatea de învățare</w:t>
            </w:r>
          </w:p>
        </w:tc>
        <w:tc>
          <w:tcPr>
            <w:tcW w:type="dxa" w:w="1701"/>
          </w:tcPr>
          <w:p>
            <w:r>
              <w:rPr>
                <w:rFonts w:ascii="Times New Roman" w:hAnsi="Times New Roman" w:eastAsia="Times New Roman"/>
                <w:b/>
                <w:sz w:val="24"/>
              </w:rPr>
              <w:t>Competențe specifice</w:t>
            </w:r>
          </w:p>
        </w:tc>
        <w:tc>
          <w:tcPr>
            <w:tcW w:type="dxa" w:w="5499"/>
          </w:tcPr>
          <w:p>
            <w:r>
              <w:rPr>
                <w:rFonts w:ascii="Times New Roman" w:hAnsi="Times New Roman" w:eastAsia="Times New Roman"/>
                <w:b/>
                <w:sz w:val="24"/>
              </w:rPr>
              <w:t>Conținuturi</w:t>
            </w:r>
          </w:p>
        </w:tc>
        <w:tc>
          <w:tcPr>
            <w:tcW w:type="dxa" w:w="737"/>
          </w:tcPr>
          <w:p>
            <w:pPr>
              <w:jc w:val="center"/>
            </w:pPr>
            <w:r>
              <w:rPr>
                <w:rFonts w:ascii="Times New Roman" w:hAnsi="Times New Roman" w:eastAsia="Times New Roman"/>
                <w:b/>
                <w:sz w:val="24"/>
              </w:rPr>
              <w:t>Nr. ore</w:t>
            </w:r>
          </w:p>
        </w:tc>
        <w:tc>
          <w:tcPr>
            <w:tcW w:type="dxa" w:w="1134"/>
          </w:tcPr>
          <w:p>
            <w:pPr>
              <w:jc w:val="center"/>
            </w:pPr>
            <w:r>
              <w:rPr>
                <w:rFonts w:ascii="Times New Roman" w:hAnsi="Times New Roman" w:eastAsia="Times New Roman"/>
                <w:b/>
                <w:sz w:val="24"/>
              </w:rPr>
              <w:t>Săptămâna*</w:t>
            </w:r>
          </w:p>
        </w:tc>
        <w:tc>
          <w:tcPr>
            <w:tcW w:type="dxa" w:w="850"/>
          </w:tcPr>
          <w:p>
            <w:pPr>
              <w:jc w:val="center"/>
            </w:pPr>
            <w:r>
              <w:rPr>
                <w:rFonts w:ascii="Times New Roman" w:hAnsi="Times New Roman" w:eastAsia="Times New Roman"/>
                <w:b/>
                <w:sz w:val="24"/>
              </w:rPr>
              <w:t>M.</w:t>
            </w:r>
          </w:p>
        </w:tc>
        <w:tc>
          <w:tcPr>
            <w:tcW w:type="dxa" w:w="3402"/>
          </w:tcPr>
          <w:p>
            <w:r>
              <w:rPr>
                <w:rFonts w:ascii="Times New Roman" w:hAnsi="Times New Roman" w:eastAsia="Times New Roman"/>
                <w:b/>
                <w:sz w:val="24"/>
              </w:rPr>
              <w:t>Observații / repere metodologice</w:t>
            </w:r>
          </w:p>
        </w:tc>
      </w:tr>
      <w:tr>
        <w:tc>
          <w:tcPr>
            <w:tcW w:type="dxa" w:w="2381"/>
          </w:tcPr>
          <w:p>
            <w:r>
              <w:rPr>
                <w:rFonts w:ascii="Times New Roman" w:hAnsi="Times New Roman" w:eastAsia="Times New Roman"/>
                <w:b/>
                <w:sz w:val="24"/>
              </w:rPr>
              <w:t>1. Reconectare și diagnoză inițială</w:t>
            </w:r>
          </w:p>
        </w:tc>
        <w:tc>
          <w:tcPr>
            <w:tcW w:type="dxa" w:w="1701"/>
          </w:tcPr>
          <w:p>
            <w:r>
              <w:rPr>
                <w:rFonts w:ascii="Times New Roman" w:hAnsi="Times New Roman" w:eastAsia="Times New Roman"/>
                <w:b w:val="0"/>
                <w:sz w:val="24"/>
              </w:rPr>
              <w:t>—</w:t>
            </w:r>
          </w:p>
        </w:tc>
        <w:tc>
          <w:tcPr>
            <w:tcW w:type="dxa" w:w="5499"/>
          </w:tcPr>
          <w:p>
            <w:r>
              <w:rPr>
                <w:rFonts w:ascii="Times New Roman" w:hAnsi="Times New Roman" w:eastAsia="Times New Roman"/>
                <w:b w:val="0"/>
                <w:sz w:val="24"/>
              </w:rPr>
              <w:t>Recapitularea achizițiilor din clasa a IX-a: structuri de control, tablouri unidimensionale, subprograme, fișiere text. Testarea nivelului de start.</w:t>
            </w:r>
          </w:p>
        </w:tc>
        <w:tc>
          <w:tcPr>
            <w:tcW w:type="dxa" w:w="737"/>
          </w:tcPr>
          <w:p>
            <w:pPr>
              <w:jc w:val="center"/>
            </w:pPr>
            <w:r>
              <w:rPr>
                <w:rFonts w:ascii="Times New Roman" w:hAnsi="Times New Roman" w:eastAsia="Times New Roman"/>
                <w:b w:val="0"/>
                <w:sz w:val="24"/>
              </w:rPr>
              <w:t>1</w:t>
            </w:r>
          </w:p>
        </w:tc>
        <w:tc>
          <w:tcPr>
            <w:tcW w:type="dxa" w:w="1134"/>
          </w:tcPr>
          <w:p>
            <w:pPr>
              <w:jc w:val="center"/>
            </w:pPr>
            <w:r>
              <w:rPr>
                <w:rFonts w:ascii="Times New Roman" w:hAnsi="Times New Roman" w:eastAsia="Times New Roman"/>
                <w:b w:val="0"/>
                <w:sz w:val="24"/>
              </w:rPr>
              <w:t>S1</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Test de reconectare; identificarea lacunelor înainte de introducerea conținuturilor noi; șabloanele de bază, resistematizate.</w:t>
            </w:r>
          </w:p>
        </w:tc>
      </w:tr>
      <w:tr>
        <w:tc>
          <w:tcPr>
            <w:tcW w:type="dxa" w:w="2381"/>
          </w:tcPr>
          <w:p>
            <w:r>
              <w:rPr>
                <w:rFonts w:ascii="Times New Roman" w:hAnsi="Times New Roman" w:eastAsia="Times New Roman"/>
                <w:b/>
                <w:sz w:val="24"/>
              </w:rPr>
              <w:t>2. Căutarea binară</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Căutarea unei valori într-un tablou ordonat. Metoda înjumătățirii intervalului. Varianta care determină poziția valorii căutate. Compararea cu căutarea secvențială; numărul de pași necesari.</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S2–S3</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Simulator de tip „ghicește numărul"; numărarea pașilor și legătura intuitivă cu logaritmul în baza 2.</w:t>
            </w:r>
          </w:p>
        </w:tc>
      </w:tr>
      <w:tr>
        <w:tc>
          <w:tcPr>
            <w:tcW w:type="dxa" w:w="2381"/>
          </w:tcPr>
          <w:p>
            <w:r>
              <w:rPr>
                <w:rFonts w:ascii="Times New Roman" w:hAnsi="Times New Roman" w:eastAsia="Times New Roman"/>
                <w:b/>
                <w:sz w:val="24"/>
              </w:rPr>
              <w:t>3. Interclasarea</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Interclasarea a două tablouri ordonate. Metoda celor doi indicatori. Aplicații ale interclasării în rezolvarea problemelor.</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S5–S6</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Animarea celor doi indicatori; clarificarea prealabilă a operatorilor de incrementare folosiți în implementare.</w:t>
            </w:r>
          </w:p>
        </w:tc>
      </w:tr>
      <w:tr>
        <w:tc>
          <w:tcPr>
            <w:tcW w:type="dxa" w:w="2381"/>
          </w:tcPr>
          <w:p>
            <w:r>
              <w:rPr>
                <w:rFonts w:ascii="Times New Roman" w:hAnsi="Times New Roman" w:eastAsia="Times New Roman"/>
                <w:b/>
                <w:sz w:val="24"/>
              </w:rPr>
              <w:t>4. Modelul de date mulțime. Clasa set</w:t>
            </w:r>
          </w:p>
        </w:tc>
        <w:tc>
          <w:tcPr>
            <w:tcW w:type="dxa" w:w="1701"/>
          </w:tcPr>
          <w:p>
            <w:r>
              <w:rPr>
                <w:rFonts w:ascii="Times New Roman" w:hAnsi="Times New Roman" w:eastAsia="Times New Roman"/>
                <w:b w:val="0"/>
                <w:sz w:val="24"/>
              </w:rPr>
              <w:t>1.1, 3.1</w:t>
            </w:r>
          </w:p>
        </w:tc>
        <w:tc>
          <w:tcPr>
            <w:tcW w:type="dxa" w:w="5499"/>
          </w:tcPr>
          <w:p>
            <w:r>
              <w:rPr>
                <w:rFonts w:ascii="Times New Roman" w:hAnsi="Times New Roman" w:eastAsia="Times New Roman"/>
                <w:b w:val="0"/>
                <w:sz w:val="24"/>
              </w:rPr>
              <w:t>Modelul de date mulțime: elemente distincte, neordonate. Operații cu mulțimi: reuniune, intersecție, diferență, incluziune, apartenență. Clasa set din Python: creare, metode, parcurgere. Aplicații.</w:t>
            </w:r>
          </w:p>
        </w:tc>
        <w:tc>
          <w:tcPr>
            <w:tcW w:type="dxa" w:w="737"/>
          </w:tcPr>
          <w:p>
            <w:pPr>
              <w:jc w:val="center"/>
            </w:pPr>
            <w:r>
              <w:rPr>
                <w:rFonts w:ascii="Times New Roman" w:hAnsi="Times New Roman" w:eastAsia="Times New Roman"/>
                <w:b w:val="0"/>
                <w:sz w:val="24"/>
              </w:rPr>
              <w:t>3</w:t>
            </w:r>
          </w:p>
        </w:tc>
        <w:tc>
          <w:tcPr>
            <w:tcW w:type="dxa" w:w="1134"/>
          </w:tcPr>
          <w:p>
            <w:pPr>
              <w:jc w:val="center"/>
            </w:pPr>
            <w:r>
              <w:rPr>
                <w:rFonts w:ascii="Times New Roman" w:hAnsi="Times New Roman" w:eastAsia="Times New Roman"/>
                <w:b w:val="0"/>
                <w:sz w:val="24"/>
              </w:rPr>
              <w:t>S7–S9</w:t>
            </w:r>
          </w:p>
        </w:tc>
        <w:tc>
          <w:tcPr>
            <w:tcW w:type="dxa" w:w="850"/>
          </w:tcPr>
          <w:p>
            <w:pPr>
              <w:jc w:val="center"/>
            </w:pPr>
            <w:r>
              <w:rPr>
                <w:rFonts w:ascii="Times New Roman" w:hAnsi="Times New Roman" w:eastAsia="Times New Roman"/>
                <w:b w:val="0"/>
                <w:sz w:val="24"/>
              </w:rPr>
              <w:t>M1–M2</w:t>
            </w:r>
          </w:p>
        </w:tc>
        <w:tc>
          <w:tcPr>
            <w:tcW w:type="dxa" w:w="3402"/>
          </w:tcPr>
          <w:p>
            <w:r>
              <w:rPr>
                <w:rFonts w:ascii="Times New Roman" w:hAnsi="Times New Roman" w:eastAsia="Times New Roman"/>
                <w:b w:val="0"/>
                <w:sz w:val="24"/>
              </w:rPr>
              <w:t>Diagrame Venn interactive; probleme de pe pbinfo.ro cu rezolvare afișată la cerere; comparație cu rezolvarea pe tablouri.</w:t>
            </w:r>
          </w:p>
        </w:tc>
      </w:tr>
      <w:tr>
        <w:tc>
          <w:tcPr>
            <w:tcW w:type="dxa" w:w="2381"/>
          </w:tcPr>
          <w:p>
            <w:r>
              <w:rPr>
                <w:rFonts w:ascii="Times New Roman" w:hAnsi="Times New Roman" w:eastAsia="Times New Roman"/>
                <w:b/>
                <w:sz w:val="24"/>
              </w:rPr>
              <w:t>5. Adrese și pointeri (suport pentru bacalaureat)</w:t>
            </w:r>
          </w:p>
        </w:tc>
        <w:tc>
          <w:tcPr>
            <w:tcW w:type="dxa" w:w="1701"/>
          </w:tcPr>
          <w:p>
            <w:r>
              <w:rPr>
                <w:rFonts w:ascii="Times New Roman" w:hAnsi="Times New Roman" w:eastAsia="Times New Roman"/>
                <w:b w:val="0"/>
                <w:sz w:val="24"/>
              </w:rPr>
              <w:t>1.2</w:t>
            </w:r>
          </w:p>
        </w:tc>
        <w:tc>
          <w:tcPr>
            <w:tcW w:type="dxa" w:w="5499"/>
          </w:tcPr>
          <w:p>
            <w:r>
              <w:rPr>
                <w:rFonts w:ascii="Times New Roman" w:hAnsi="Times New Roman" w:eastAsia="Times New Roman"/>
                <w:b w:val="0"/>
                <w:sz w:val="24"/>
              </w:rPr>
              <w:t>Memoria internă și adresa unei variabile. Reprezentarea adreselor. Operatorii de referențiere și de dereferențiere. Legătura dintre tablou și pointer. Utilizarea pointerilor la transmiterea parametrilor.</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S10–S11</w:t>
            </w:r>
          </w:p>
        </w:tc>
        <w:tc>
          <w:tcPr>
            <w:tcW w:type="dxa" w:w="850"/>
          </w:tcPr>
          <w:p>
            <w:pPr>
              <w:jc w:val="center"/>
            </w:pPr>
            <w:r>
              <w:rPr>
                <w:rFonts w:ascii="Times New Roman" w:hAnsi="Times New Roman" w:eastAsia="Times New Roman"/>
                <w:b w:val="0"/>
                <w:sz w:val="24"/>
              </w:rPr>
              <w:t>M2</w:t>
            </w:r>
          </w:p>
        </w:tc>
        <w:tc>
          <w:tcPr>
            <w:tcW w:type="dxa" w:w="3402"/>
          </w:tcPr>
          <w:p>
            <w:r>
              <w:rPr>
                <w:rFonts w:ascii="Times New Roman" w:hAnsi="Times New Roman" w:eastAsia="Times New Roman"/>
                <w:b w:val="0"/>
                <w:sz w:val="24"/>
              </w:rPr>
              <w:t>Reprezentarea vizuală a memoriei; exerciții de fixare pe adrese și valori; pregătirea terenului pentru șirurile de caractere.</w:t>
            </w:r>
          </w:p>
        </w:tc>
      </w:tr>
      <w:tr>
        <w:tc>
          <w:tcPr>
            <w:tcW w:type="dxa" w:w="2381"/>
          </w:tcPr>
          <w:p>
            <w:r>
              <w:rPr>
                <w:rFonts w:ascii="Times New Roman" w:hAnsi="Times New Roman" w:eastAsia="Times New Roman"/>
                <w:b/>
                <w:sz w:val="24"/>
              </w:rPr>
              <w:t>6. Șiruri de caractere în C++</w:t>
            </w:r>
          </w:p>
        </w:tc>
        <w:tc>
          <w:tcPr>
            <w:tcW w:type="dxa" w:w="1701"/>
          </w:tcPr>
          <w:p>
            <w:r>
              <w:rPr>
                <w:rFonts w:ascii="Times New Roman" w:hAnsi="Times New Roman" w:eastAsia="Times New Roman"/>
                <w:b w:val="0"/>
                <w:sz w:val="24"/>
              </w:rPr>
              <w:t>1.2, 3.2</w:t>
            </w:r>
          </w:p>
        </w:tc>
        <w:tc>
          <w:tcPr>
            <w:tcW w:type="dxa" w:w="5499"/>
          </w:tcPr>
          <w:p>
            <w:r>
              <w:rPr>
                <w:rFonts w:ascii="Times New Roman" w:hAnsi="Times New Roman" w:eastAsia="Times New Roman"/>
                <w:b w:val="0"/>
                <w:sz w:val="24"/>
              </w:rPr>
              <w:t>Tipul char și codificarea ASCII. Șirul de caractere ca tablou de caractere; terminatorul de șir. Citirea și afișarea șirurilor. Subprograme predefinite din biblioteca cstring. Clasa string și subprogramele din cctype. Prelucrări uzuale ale textului.</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S12–S15</w:t>
            </w:r>
          </w:p>
        </w:tc>
        <w:tc>
          <w:tcPr>
            <w:tcW w:type="dxa" w:w="850"/>
          </w:tcPr>
          <w:p>
            <w:pPr>
              <w:jc w:val="center"/>
            </w:pPr>
            <w:r>
              <w:rPr>
                <w:rFonts w:ascii="Times New Roman" w:hAnsi="Times New Roman" w:eastAsia="Times New Roman"/>
                <w:b w:val="0"/>
                <w:sz w:val="24"/>
              </w:rPr>
              <w:t>M2</w:t>
            </w:r>
          </w:p>
        </w:tc>
        <w:tc>
          <w:tcPr>
            <w:tcW w:type="dxa" w:w="3402"/>
          </w:tcPr>
          <w:p>
            <w:r>
              <w:rPr>
                <w:rFonts w:ascii="Times New Roman" w:hAnsi="Times New Roman" w:eastAsia="Times New Roman"/>
                <w:b w:val="0"/>
                <w:sz w:val="24"/>
              </w:rPr>
              <w:t>Laborator ASCII; probleme de tip bacalaureat; test grilă la finalul unității.</w:t>
            </w:r>
          </w:p>
        </w:tc>
      </w:tr>
      <w:tr>
        <w:tc>
          <w:tcPr>
            <w:tcW w:type="dxa" w:w="2381"/>
          </w:tcPr>
          <w:p>
            <w:r>
              <w:rPr>
                <w:rFonts w:ascii="Times New Roman" w:hAnsi="Times New Roman" w:eastAsia="Times New Roman"/>
                <w:b/>
                <w:sz w:val="24"/>
              </w:rPr>
              <w:t>7. Tablouri de șiruri de caractere</w:t>
            </w:r>
          </w:p>
        </w:tc>
        <w:tc>
          <w:tcPr>
            <w:tcW w:type="dxa" w:w="1701"/>
          </w:tcPr>
          <w:p>
            <w:r>
              <w:rPr>
                <w:rFonts w:ascii="Times New Roman" w:hAnsi="Times New Roman" w:eastAsia="Times New Roman"/>
                <w:b w:val="0"/>
                <w:sz w:val="24"/>
              </w:rPr>
              <w:t>1.4</w:t>
            </w:r>
          </w:p>
        </w:tc>
        <w:tc>
          <w:tcPr>
            <w:tcW w:type="dxa" w:w="5499"/>
          </w:tcPr>
          <w:p>
            <w:r>
              <w:rPr>
                <w:rFonts w:ascii="Times New Roman" w:hAnsi="Times New Roman" w:eastAsia="Times New Roman"/>
                <w:b w:val="0"/>
                <w:sz w:val="24"/>
              </w:rPr>
              <w:t>Matricea de caractere ca tablou de cuvinte. Declarare, citire, parcurgere, afișare. Ordonarea alfabetică a cuvintelor; compararea și copierea șirurilor. Aplicații pe liste de cuvinte.</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S16–S17</w:t>
            </w:r>
          </w:p>
        </w:tc>
        <w:tc>
          <w:tcPr>
            <w:tcW w:type="dxa" w:w="850"/>
          </w:tcPr>
          <w:p>
            <w:pPr>
              <w:jc w:val="center"/>
            </w:pPr>
            <w:r>
              <w:rPr>
                <w:rFonts w:ascii="Times New Roman" w:hAnsi="Times New Roman" w:eastAsia="Times New Roman"/>
                <w:b w:val="0"/>
                <w:sz w:val="24"/>
              </w:rPr>
              <w:t>M3</w:t>
            </w:r>
          </w:p>
        </w:tc>
        <w:tc>
          <w:tcPr>
            <w:tcW w:type="dxa" w:w="3402"/>
          </w:tcPr>
          <w:p>
            <w:r>
              <w:rPr>
                <w:rFonts w:ascii="Times New Roman" w:hAnsi="Times New Roman" w:eastAsia="Times New Roman"/>
                <w:b w:val="0"/>
                <w:sz w:val="24"/>
              </w:rPr>
              <w:t>Ordonare alfabetică urmărită pas cu pas; aplicații pe liste de nume și de cuvinte.</w:t>
            </w:r>
          </w:p>
        </w:tc>
      </w:tr>
      <w:tr>
        <w:tc>
          <w:tcPr>
            <w:tcW w:type="dxa" w:w="2381"/>
          </w:tcPr>
          <w:p>
            <w:r>
              <w:rPr>
                <w:rFonts w:ascii="Times New Roman" w:hAnsi="Times New Roman" w:eastAsia="Times New Roman"/>
                <w:b/>
                <w:sz w:val="24"/>
              </w:rPr>
              <w:t>8. Tablouri bidimensionale (matrice)</w:t>
            </w:r>
          </w:p>
        </w:tc>
        <w:tc>
          <w:tcPr>
            <w:tcW w:type="dxa" w:w="1701"/>
          </w:tcPr>
          <w:p>
            <w:r>
              <w:rPr>
                <w:rFonts w:ascii="Times New Roman" w:hAnsi="Times New Roman" w:eastAsia="Times New Roman"/>
                <w:b w:val="0"/>
                <w:sz w:val="24"/>
              </w:rPr>
              <w:t>1.4</w:t>
            </w:r>
          </w:p>
        </w:tc>
        <w:tc>
          <w:tcPr>
            <w:tcW w:type="dxa" w:w="5499"/>
          </w:tcPr>
          <w:p>
            <w:r>
              <w:rPr>
                <w:rFonts w:ascii="Times New Roman" w:hAnsi="Times New Roman" w:eastAsia="Times New Roman"/>
                <w:b w:val="0"/>
                <w:sz w:val="24"/>
              </w:rPr>
              <w:t>Matricea: declarare, citire, afișare, acces la element prin doi indici. Parcurgerea pe linii și pe coloane. Matricea pătratică: diagonala principală și secundară, zonele determinate de diagonale. Prelucrări uzuale.</w:t>
            </w:r>
          </w:p>
        </w:tc>
        <w:tc>
          <w:tcPr>
            <w:tcW w:type="dxa" w:w="737"/>
          </w:tcPr>
          <w:p>
            <w:pPr>
              <w:jc w:val="center"/>
            </w:pPr>
            <w:r>
              <w:rPr>
                <w:rFonts w:ascii="Times New Roman" w:hAnsi="Times New Roman" w:eastAsia="Times New Roman"/>
                <w:b w:val="0"/>
                <w:sz w:val="24"/>
              </w:rPr>
              <w:t>3</w:t>
            </w:r>
          </w:p>
        </w:tc>
        <w:tc>
          <w:tcPr>
            <w:tcW w:type="dxa" w:w="1134"/>
          </w:tcPr>
          <w:p>
            <w:pPr>
              <w:jc w:val="center"/>
            </w:pPr>
            <w:r>
              <w:rPr>
                <w:rFonts w:ascii="Times New Roman" w:hAnsi="Times New Roman" w:eastAsia="Times New Roman"/>
                <w:b w:val="0"/>
                <w:sz w:val="24"/>
              </w:rPr>
              <w:t>S18–S20</w:t>
            </w:r>
          </w:p>
        </w:tc>
        <w:tc>
          <w:tcPr>
            <w:tcW w:type="dxa" w:w="850"/>
          </w:tcPr>
          <w:p>
            <w:pPr>
              <w:jc w:val="center"/>
            </w:pPr>
            <w:r>
              <w:rPr>
                <w:rFonts w:ascii="Times New Roman" w:hAnsi="Times New Roman" w:eastAsia="Times New Roman"/>
                <w:b w:val="0"/>
                <w:sz w:val="24"/>
              </w:rPr>
              <w:t>M3</w:t>
            </w:r>
          </w:p>
        </w:tc>
        <w:tc>
          <w:tcPr>
            <w:tcW w:type="dxa" w:w="3402"/>
          </w:tcPr>
          <w:p>
            <w:r>
              <w:rPr>
                <w:rFonts w:ascii="Times New Roman" w:hAnsi="Times New Roman" w:eastAsia="Times New Roman"/>
                <w:b w:val="0"/>
                <w:sz w:val="24"/>
              </w:rPr>
              <w:t>Matrice interactivă cu evidențierea zonelor; probleme clasice de bacalaureat pe diagonale și zone.</w:t>
            </w:r>
          </w:p>
        </w:tc>
      </w:tr>
      <w:tr>
        <w:tc>
          <w:tcPr>
            <w:tcW w:type="dxa" w:w="2381"/>
          </w:tcPr>
          <w:p>
            <w:r>
              <w:rPr>
                <w:rFonts w:ascii="Times New Roman" w:hAnsi="Times New Roman" w:eastAsia="Times New Roman"/>
                <w:b/>
                <w:sz w:val="24"/>
              </w:rPr>
              <w:t>9. Șiruri de caractere în Python. Clasa str</w:t>
            </w:r>
          </w:p>
        </w:tc>
        <w:tc>
          <w:tcPr>
            <w:tcW w:type="dxa" w:w="1701"/>
          </w:tcPr>
          <w:p>
            <w:r>
              <w:rPr>
                <w:rFonts w:ascii="Times New Roman" w:hAnsi="Times New Roman" w:eastAsia="Times New Roman"/>
                <w:b w:val="0"/>
                <w:sz w:val="24"/>
              </w:rPr>
              <w:t>1.2, 3.2</w:t>
            </w:r>
          </w:p>
        </w:tc>
        <w:tc>
          <w:tcPr>
            <w:tcW w:type="dxa" w:w="5499"/>
          </w:tcPr>
          <w:p>
            <w:r>
              <w:rPr>
                <w:rFonts w:ascii="Times New Roman" w:hAnsi="Times New Roman" w:eastAsia="Times New Roman"/>
                <w:b w:val="0"/>
                <w:sz w:val="24"/>
              </w:rPr>
              <w:t>Modelul liniar imutabil. Indexarea și secționarea textului. Operatorii clasei str. Metodele uzuale de prelucrare a textului. Aplicații de validare și transformare a datelor de tip text.</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S21–S22</w:t>
            </w:r>
          </w:p>
        </w:tc>
        <w:tc>
          <w:tcPr>
            <w:tcW w:type="dxa" w:w="850"/>
          </w:tcPr>
          <w:p>
            <w:pPr>
              <w:jc w:val="center"/>
            </w:pPr>
            <w:r>
              <w:rPr>
                <w:rFonts w:ascii="Times New Roman" w:hAnsi="Times New Roman" w:eastAsia="Times New Roman"/>
                <w:b w:val="0"/>
                <w:sz w:val="24"/>
              </w:rPr>
              <w:t>M3–M4</w:t>
            </w:r>
          </w:p>
        </w:tc>
        <w:tc>
          <w:tcPr>
            <w:tcW w:type="dxa" w:w="3402"/>
          </w:tcPr>
          <w:p>
            <w:r>
              <w:rPr>
                <w:rFonts w:ascii="Times New Roman" w:hAnsi="Times New Roman" w:eastAsia="Times New Roman"/>
                <w:b w:val="0"/>
                <w:sz w:val="24"/>
              </w:rPr>
              <w:t>Laborator de text; aplicația de validare a unei parole, prevăzută de programă.</w:t>
            </w:r>
          </w:p>
        </w:tc>
      </w:tr>
      <w:tr>
        <w:tc>
          <w:tcPr>
            <w:tcW w:type="dxa" w:w="2381"/>
          </w:tcPr>
          <w:p>
            <w:r>
              <w:rPr>
                <w:rFonts w:ascii="Times New Roman" w:hAnsi="Times New Roman" w:eastAsia="Times New Roman"/>
                <w:b/>
                <w:sz w:val="24"/>
              </w:rPr>
              <w:t>10. Modelul asociativ. Clasa dict</w:t>
            </w:r>
          </w:p>
        </w:tc>
        <w:tc>
          <w:tcPr>
            <w:tcW w:type="dxa" w:w="1701"/>
          </w:tcPr>
          <w:p>
            <w:r>
              <w:rPr>
                <w:rFonts w:ascii="Times New Roman" w:hAnsi="Times New Roman" w:eastAsia="Times New Roman"/>
                <w:b w:val="0"/>
                <w:sz w:val="24"/>
              </w:rPr>
              <w:t>1.3, 3.3</w:t>
            </w:r>
          </w:p>
        </w:tc>
        <w:tc>
          <w:tcPr>
            <w:tcW w:type="dxa" w:w="5499"/>
          </w:tcPr>
          <w:p>
            <w:r>
              <w:rPr>
                <w:rFonts w:ascii="Times New Roman" w:hAnsi="Times New Roman" w:eastAsia="Times New Roman"/>
                <w:b w:val="0"/>
                <w:sz w:val="24"/>
              </w:rPr>
              <w:t>Modelul de date asociativ: perechea cheie – valoare. Clasa dict: creare, acces, adăugare, modificare, ștergere. Parcurgerea după chei, după valori și după perechi. Aplicații.</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S23–S24</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Agendă interactivă; compararea soluției cu liste și a soluției cu dicționar pentru aceeași problemă.</w:t>
            </w:r>
          </w:p>
        </w:tc>
      </w:tr>
      <w:tr>
        <w:tc>
          <w:tcPr>
            <w:tcW w:type="dxa" w:w="2381"/>
          </w:tcPr>
          <w:p>
            <w:r>
              <w:rPr>
                <w:rFonts w:ascii="Times New Roman" w:hAnsi="Times New Roman" w:eastAsia="Times New Roman"/>
                <w:b/>
                <w:sz w:val="24"/>
              </w:rPr>
              <w:t>11. Modele de date mixte</w:t>
            </w:r>
          </w:p>
        </w:tc>
        <w:tc>
          <w:tcPr>
            <w:tcW w:type="dxa" w:w="1701"/>
          </w:tcPr>
          <w:p>
            <w:r>
              <w:rPr>
                <w:rFonts w:ascii="Times New Roman" w:hAnsi="Times New Roman" w:eastAsia="Times New Roman"/>
                <w:b w:val="0"/>
                <w:sz w:val="24"/>
              </w:rPr>
              <w:t>1.4</w:t>
            </w:r>
          </w:p>
        </w:tc>
        <w:tc>
          <w:tcPr>
            <w:tcW w:type="dxa" w:w="5499"/>
          </w:tcPr>
          <w:p>
            <w:r>
              <w:rPr>
                <w:rFonts w:ascii="Times New Roman" w:hAnsi="Times New Roman" w:eastAsia="Times New Roman"/>
                <w:b w:val="0"/>
                <w:sz w:val="24"/>
              </w:rPr>
              <w:t>Combinarea structurilor de date: liste de liste, dicționare de liste, liste de dicționare. Accesul la elemente în structuri imbricate. Alegerea modelului potrivit pentru o problemă dată.</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S25, S27</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Studii de caz: orarul clasei, catalogul, comenzile dintr-un magazin; justificarea modelului ales.</w:t>
            </w:r>
          </w:p>
        </w:tc>
      </w:tr>
      <w:tr>
        <w:tc>
          <w:tcPr>
            <w:tcW w:type="dxa" w:w="2381"/>
          </w:tcPr>
          <w:p>
            <w:r>
              <w:rPr>
                <w:rFonts w:ascii="Times New Roman" w:hAnsi="Times New Roman" w:eastAsia="Times New Roman"/>
                <w:b/>
                <w:sz w:val="24"/>
              </w:rPr>
              <w:t>12. Recursivitatea</w:t>
            </w:r>
          </w:p>
        </w:tc>
        <w:tc>
          <w:tcPr>
            <w:tcW w:type="dxa" w:w="1701"/>
          </w:tcPr>
          <w:p>
            <w:r>
              <w:rPr>
                <w:rFonts w:ascii="Times New Roman" w:hAnsi="Times New Roman" w:eastAsia="Times New Roman"/>
                <w:b w:val="0"/>
                <w:sz w:val="24"/>
              </w:rPr>
              <w:t>3.4</w:t>
            </w:r>
          </w:p>
        </w:tc>
        <w:tc>
          <w:tcPr>
            <w:tcW w:type="dxa" w:w="5499"/>
          </w:tcPr>
          <w:p>
            <w:r>
              <w:rPr>
                <w:rFonts w:ascii="Times New Roman" w:hAnsi="Times New Roman" w:eastAsia="Times New Roman"/>
                <w:b w:val="0"/>
                <w:sz w:val="24"/>
              </w:rPr>
              <w:t>Subprogramul recursiv. Cazul de bază și pasul recursiv. Mecanismul de execuție și stiva de apeluri. Șabloane recursive uzuale. Limitele recursivității și situațiile în care este preferabilă varianta iterativă.</w:t>
            </w:r>
          </w:p>
        </w:tc>
        <w:tc>
          <w:tcPr>
            <w:tcW w:type="dxa" w:w="737"/>
          </w:tcPr>
          <w:p>
            <w:pPr>
              <w:jc w:val="center"/>
            </w:pPr>
            <w:r>
              <w:rPr>
                <w:rFonts w:ascii="Times New Roman" w:hAnsi="Times New Roman" w:eastAsia="Times New Roman"/>
                <w:b w:val="0"/>
                <w:sz w:val="24"/>
              </w:rPr>
              <w:t>3</w:t>
            </w:r>
          </w:p>
        </w:tc>
        <w:tc>
          <w:tcPr>
            <w:tcW w:type="dxa" w:w="1134"/>
          </w:tcPr>
          <w:p>
            <w:pPr>
              <w:jc w:val="center"/>
            </w:pPr>
            <w:r>
              <w:rPr>
                <w:rFonts w:ascii="Times New Roman" w:hAnsi="Times New Roman" w:eastAsia="Times New Roman"/>
                <w:b w:val="0"/>
                <w:sz w:val="24"/>
              </w:rPr>
              <w:t>S28–S30</w:t>
            </w:r>
          </w:p>
        </w:tc>
        <w:tc>
          <w:tcPr>
            <w:tcW w:type="dxa" w:w="850"/>
          </w:tcPr>
          <w:p>
            <w:pPr>
              <w:jc w:val="center"/>
            </w:pPr>
            <w:r>
              <w:rPr>
                <w:rFonts w:ascii="Times New Roman" w:hAnsi="Times New Roman" w:eastAsia="Times New Roman"/>
                <w:b w:val="0"/>
                <w:sz w:val="24"/>
              </w:rPr>
              <w:t>M4–M5</w:t>
            </w:r>
          </w:p>
        </w:tc>
        <w:tc>
          <w:tcPr>
            <w:tcW w:type="dxa" w:w="3402"/>
          </w:tcPr>
          <w:p>
            <w:r>
              <w:rPr>
                <w:rFonts w:ascii="Times New Roman" w:hAnsi="Times New Roman" w:eastAsia="Times New Roman"/>
                <w:b w:val="0"/>
                <w:sz w:val="24"/>
              </w:rPr>
              <w:t>Vizualizarea stivei de apeluri pentru un exemplu concret; șabloane de tip bacalaureat; discuție despre depășirea stivei.</w:t>
            </w:r>
          </w:p>
        </w:tc>
      </w:tr>
      <w:tr>
        <w:tc>
          <w:tcPr>
            <w:tcW w:type="dxa" w:w="2381"/>
          </w:tcPr>
          <w:p>
            <w:r>
              <w:rPr>
                <w:rFonts w:ascii="Times New Roman" w:hAnsi="Times New Roman" w:eastAsia="Times New Roman"/>
                <w:b/>
                <w:sz w:val="24"/>
              </w:rPr>
              <w:t>13. Metoda Divide et impera</w:t>
            </w:r>
          </w:p>
        </w:tc>
        <w:tc>
          <w:tcPr>
            <w:tcW w:type="dxa" w:w="1701"/>
          </w:tcPr>
          <w:p>
            <w:r>
              <w:rPr>
                <w:rFonts w:ascii="Times New Roman" w:hAnsi="Times New Roman" w:eastAsia="Times New Roman"/>
                <w:b w:val="0"/>
                <w:sz w:val="24"/>
              </w:rPr>
              <w:t>2.2</w:t>
            </w:r>
          </w:p>
        </w:tc>
        <w:tc>
          <w:tcPr>
            <w:tcW w:type="dxa" w:w="5499"/>
          </w:tcPr>
          <w:p>
            <w:r>
              <w:rPr>
                <w:rFonts w:ascii="Times New Roman" w:hAnsi="Times New Roman" w:eastAsia="Times New Roman"/>
                <w:b w:val="0"/>
                <w:sz w:val="24"/>
              </w:rPr>
              <w:t>Etapele metodei: descompunerea problemei, rezolvarea subproblemelor, combinarea rezultatelor. Aplicații: determinarea maximului, căutarea binară în variantă recursivă, sortarea prin interclasare.</w:t>
            </w:r>
          </w:p>
        </w:tc>
        <w:tc>
          <w:tcPr>
            <w:tcW w:type="dxa" w:w="737"/>
          </w:tcPr>
          <w:p>
            <w:pPr>
              <w:jc w:val="center"/>
            </w:pPr>
            <w:r>
              <w:rPr>
                <w:rFonts w:ascii="Times New Roman" w:hAnsi="Times New Roman" w:eastAsia="Times New Roman"/>
                <w:b w:val="0"/>
                <w:sz w:val="24"/>
              </w:rPr>
              <w:t>3</w:t>
            </w:r>
          </w:p>
        </w:tc>
        <w:tc>
          <w:tcPr>
            <w:tcW w:type="dxa" w:w="1134"/>
          </w:tcPr>
          <w:p>
            <w:pPr>
              <w:jc w:val="center"/>
            </w:pPr>
            <w:r>
              <w:rPr>
                <w:rFonts w:ascii="Times New Roman" w:hAnsi="Times New Roman" w:eastAsia="Times New Roman"/>
                <w:b w:val="0"/>
                <w:sz w:val="24"/>
              </w:rPr>
              <w:t>S31–S33</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Arborele apelurilor recursive; compararea rezultatelor și a numărului de operații cu variantele iterative.</w:t>
            </w:r>
          </w:p>
        </w:tc>
      </w:tr>
      <w:tr>
        <w:tc>
          <w:tcPr>
            <w:tcW w:type="dxa" w:w="2381"/>
          </w:tcPr>
          <w:p>
            <w:r>
              <w:rPr>
                <w:rFonts w:ascii="Times New Roman" w:hAnsi="Times New Roman" w:eastAsia="Times New Roman"/>
                <w:b/>
                <w:sz w:val="24"/>
              </w:rPr>
              <w:t>14. Metoda Greedy</w:t>
            </w:r>
          </w:p>
        </w:tc>
        <w:tc>
          <w:tcPr>
            <w:tcW w:type="dxa" w:w="1701"/>
          </w:tcPr>
          <w:p>
            <w:r>
              <w:rPr>
                <w:rFonts w:ascii="Times New Roman" w:hAnsi="Times New Roman" w:eastAsia="Times New Roman"/>
                <w:b w:val="0"/>
                <w:sz w:val="24"/>
              </w:rPr>
              <w:t>2.3</w:t>
            </w:r>
          </w:p>
        </w:tc>
        <w:tc>
          <w:tcPr>
            <w:tcW w:type="dxa" w:w="5499"/>
          </w:tcPr>
          <w:p>
            <w:r>
              <w:rPr>
                <w:rFonts w:ascii="Times New Roman" w:hAnsi="Times New Roman" w:eastAsia="Times New Roman"/>
                <w:b w:val="0"/>
                <w:sz w:val="24"/>
              </w:rPr>
              <w:t>Principiul alegerii optime locale. Aplicații: problema restului, planificarea spectacolelor, numărul minim de săli, problema rucsacului în variantă fracționară. Situații în care metoda nu conduce la soluția optimă.</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S34–S35</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Contraexemplu discutat explicit; compararea rezultatului cu soluția obținută prin căutare exhaustivă.</w:t>
            </w:r>
          </w:p>
        </w:tc>
      </w:tr>
      <w:tr>
        <w:tc>
          <w:tcPr>
            <w:tcW w:type="dxa" w:w="2381"/>
          </w:tcPr>
          <w:p>
            <w:r>
              <w:rPr>
                <w:rFonts w:ascii="Times New Roman" w:hAnsi="Times New Roman" w:eastAsia="Times New Roman"/>
                <w:b/>
                <w:sz w:val="24"/>
              </w:rPr>
              <w:t>15. Recapitulare și evaluare finală</w:t>
            </w:r>
          </w:p>
        </w:tc>
        <w:tc>
          <w:tcPr>
            <w:tcW w:type="dxa" w:w="1701"/>
          </w:tcPr>
          <w:p>
            <w:r>
              <w:rPr>
                <w:rFonts w:ascii="Times New Roman" w:hAnsi="Times New Roman" w:eastAsia="Times New Roman"/>
                <w:b w:val="0"/>
                <w:sz w:val="24"/>
              </w:rPr>
              <w:t>—</w:t>
            </w:r>
          </w:p>
        </w:tc>
        <w:tc>
          <w:tcPr>
            <w:tcW w:type="dxa" w:w="5499"/>
          </w:tcPr>
          <w:p>
            <w:r>
              <w:rPr>
                <w:rFonts w:ascii="Times New Roman" w:hAnsi="Times New Roman" w:eastAsia="Times New Roman"/>
                <w:b w:val="0"/>
                <w:sz w:val="24"/>
              </w:rPr>
              <w:t>Sinteza conținuturilor anului. Probleme integratoare care combină modelele de date și metodele studiate. Evaluare sumativă.</w:t>
            </w:r>
          </w:p>
        </w:tc>
        <w:tc>
          <w:tcPr>
            <w:tcW w:type="dxa" w:w="737"/>
          </w:tcPr>
          <w:p>
            <w:pPr>
              <w:jc w:val="center"/>
            </w:pPr>
            <w:r>
              <w:rPr>
                <w:rFonts w:ascii="Times New Roman" w:hAnsi="Times New Roman" w:eastAsia="Times New Roman"/>
                <w:b w:val="0"/>
                <w:sz w:val="24"/>
              </w:rPr>
              <w:t>1</w:t>
            </w:r>
          </w:p>
        </w:tc>
        <w:tc>
          <w:tcPr>
            <w:tcW w:type="dxa" w:w="1134"/>
          </w:tcPr>
          <w:p>
            <w:pPr>
              <w:jc w:val="center"/>
            </w:pPr>
            <w:r>
              <w:rPr>
                <w:rFonts w:ascii="Times New Roman" w:hAnsi="Times New Roman" w:eastAsia="Times New Roman"/>
                <w:b w:val="0"/>
                <w:sz w:val="24"/>
              </w:rPr>
              <w:t>S36</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Ora poate fi redistribuită unei unități de învățare, în funcție de ritmul clasei.</w:t>
            </w:r>
          </w:p>
        </w:tc>
      </w:tr>
    </w:tbl>
    <w:p>
      <w:r>
        <w:rPr>
          <w:rFonts w:ascii="Times New Roman" w:hAnsi="Times New Roman" w:eastAsia="Times New Roman"/>
          <w:b/>
          <w:sz w:val="24"/>
        </w:rPr>
        <w:t>* Numerotarea S1–S36 urmează structura anului școlar 2026–2027 (5 module, 36 de săptămâni de cursuri). Săptămânile S4 („Școala altfel") și S26 („Săptămâna verde") sunt rezervate programelor naționale și nu conțin ore de disciplină; ele se desfășoară în intervale de câte 5 zile consecutive lucrătoare, stabilite de unitatea de învățământ în perioada 7 septembrie 2026 – 23 aprilie 2027. După aprobarea calendarului școlii, săptămânile din tabel se repoziționează corespunzător.</w:t>
      </w:r>
    </w:p>
    <w:p>
      <w:r>
        <w:rPr>
          <w:rFonts w:ascii="Times New Roman" w:hAnsi="Times New Roman" w:eastAsia="Times New Roman"/>
          <w:b/>
          <w:sz w:val="24"/>
        </w:rPr>
        <w:t>** Data de final a Modulului 3 (12, 19 sau 26 februarie 2027) și, implicit, data de început a Modulului 4 depind de vacanța stabilită la decizia ISMB (22–27 februarie 2027). Tabelul folosește varianta mediană; la schimbarea variantei, săptămânile se decalează cu o săptămână.</w:t>
      </w:r>
    </w:p>
    <w:p>
      <w:r>
        <w:rPr>
          <w:rFonts w:ascii="Times New Roman" w:hAnsi="Times New Roman" w:eastAsia="Times New Roman"/>
          <w:b/>
          <w:sz w:val="24"/>
        </w:rPr>
        <w:t>*** Codurile din coloana „Competențe specifice" trimit la domeniile și conținuturile din Anexa nr. 44; ele se corelează cu numerotarea competențelor specifice din documentul oficial.</w:t>
      </w:r>
    </w:p>
    <w:p>
      <w:r>
        <w:rPr>
          <w:rFonts w:ascii="Times New Roman" w:hAnsi="Times New Roman" w:eastAsia="Times New Roman"/>
          <w:b/>
          <w:sz w:val="24"/>
        </w:rPr>
        <w:t>Total disciplină în planificarea curriculară: 34 ore de informatică (1 oră/săptămână × 34 de săptămâni de curriculum), la care se adaugă cele două săptămâni dedicate programelor naționale, incluse în cele 36 de săptămâni de cursuri.</w:t>
      </w:r>
    </w:p>
    <w:sectPr w:rsidR="00FC693F" w:rsidRPr="0006063C" w:rsidSect="00034616">
      <w:pgSz w:w="15840" w:h="12240"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